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05" w:rsidRDefault="00601C05" w:rsidP="00601C05">
      <w:pPr>
        <w:pStyle w:val="Heading1"/>
        <w:spacing w:before="75" w:line="276" w:lineRule="auto"/>
        <w:ind w:left="4349"/>
      </w:pPr>
      <w:r>
        <w:t>2020-21</w:t>
      </w:r>
    </w:p>
    <w:p w:rsidR="00601C05" w:rsidRPr="00601C05" w:rsidRDefault="00601C05" w:rsidP="00601C05">
      <w:pPr>
        <w:pStyle w:val="BodyText"/>
        <w:pBdr>
          <w:between w:val="single" w:sz="4" w:space="1" w:color="auto"/>
        </w:pBdr>
        <w:spacing w:before="9" w:line="276" w:lineRule="auto"/>
        <w:ind w:left="119"/>
        <w:rPr>
          <w:rFonts w:asciiTheme="minorHAnsi" w:hAnsiTheme="minorHAnsi"/>
          <w:b/>
        </w:rPr>
      </w:pPr>
      <w:proofErr w:type="spellStart"/>
      <w:r w:rsidRPr="00601C05">
        <w:rPr>
          <w:rFonts w:asciiTheme="minorHAnsi" w:hAnsiTheme="minorHAnsi"/>
          <w:b/>
        </w:rPr>
        <w:t>Prof.A.</w:t>
      </w:r>
      <w:proofErr w:type="gramStart"/>
      <w:r w:rsidRPr="00601C05">
        <w:rPr>
          <w:rFonts w:asciiTheme="minorHAnsi" w:hAnsiTheme="minorHAnsi"/>
          <w:b/>
        </w:rPr>
        <w:t>V.Sadlapurkar</w:t>
      </w:r>
      <w:proofErr w:type="spellEnd"/>
      <w:proofErr w:type="gramEnd"/>
    </w:p>
    <w:p w:rsidR="00601C05" w:rsidRPr="00601C05" w:rsidRDefault="00601C05" w:rsidP="00601C05">
      <w:pPr>
        <w:pStyle w:val="BodyText"/>
        <w:pBdr>
          <w:between w:val="single" w:sz="4" w:space="1" w:color="auto"/>
        </w:pBdr>
        <w:spacing w:before="9" w:line="276" w:lineRule="auto"/>
        <w:ind w:left="119"/>
        <w:rPr>
          <w:rFonts w:asciiTheme="minorHAnsi" w:hAnsiTheme="minorHAnsi"/>
          <w:b/>
        </w:rPr>
      </w:pPr>
    </w:p>
    <w:p w:rsidR="00601C05" w:rsidRPr="00601C05" w:rsidRDefault="00601C05" w:rsidP="00601C05">
      <w:pPr>
        <w:pStyle w:val="ListParagraph"/>
        <w:pBdr>
          <w:between w:val="single" w:sz="4" w:space="1" w:color="auto"/>
        </w:pBdr>
        <w:tabs>
          <w:tab w:val="left" w:pos="473"/>
        </w:tabs>
        <w:spacing w:line="276" w:lineRule="auto"/>
        <w:ind w:left="119" w:right="120"/>
        <w:rPr>
          <w:rFonts w:asciiTheme="minorHAnsi" w:hAnsiTheme="minorHAnsi"/>
          <w:sz w:val="24"/>
          <w:szCs w:val="24"/>
        </w:rPr>
      </w:pPr>
      <w:proofErr w:type="spellStart"/>
      <w:r w:rsidRPr="00601C05">
        <w:rPr>
          <w:rFonts w:asciiTheme="minorHAnsi" w:hAnsiTheme="minorHAnsi"/>
          <w:sz w:val="24"/>
          <w:szCs w:val="24"/>
        </w:rPr>
        <w:t>Prof.A.</w:t>
      </w:r>
      <w:proofErr w:type="gramStart"/>
      <w:r w:rsidRPr="00601C05">
        <w:rPr>
          <w:rFonts w:asciiTheme="minorHAnsi" w:hAnsiTheme="minorHAnsi"/>
          <w:sz w:val="24"/>
          <w:szCs w:val="24"/>
        </w:rPr>
        <w:t>V.Sadlapurkar</w:t>
      </w:r>
      <w:proofErr w:type="spellEnd"/>
      <w:proofErr w:type="gramEnd"/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„„2-chlorobenzaldehyde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601C05">
        <w:rPr>
          <w:rFonts w:asciiTheme="minorHAnsi" w:hAnsiTheme="minorHAnsi"/>
          <w:sz w:val="24"/>
          <w:szCs w:val="24"/>
        </w:rPr>
        <w:t>thiocarbohydrazone</w:t>
      </w:r>
      <w:proofErr w:type="spellEnd"/>
      <w:r w:rsidRPr="00601C05">
        <w:rPr>
          <w:rFonts w:asciiTheme="minorHAnsi" w:hAnsiTheme="minorHAnsi"/>
          <w:sz w:val="24"/>
          <w:szCs w:val="24"/>
        </w:rPr>
        <w:t>: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novel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reagent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for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liquid-liquid extractive spectrophotometric determination of copper(II) from environmental and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real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samples‟‟.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(International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Journal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of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Environmental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Analytical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Chemistry,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DOI: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10.1080/03067319.2021.1912333.)</w:t>
      </w:r>
    </w:p>
    <w:p w:rsidR="00601C05" w:rsidRPr="00601C05" w:rsidRDefault="00601C05" w:rsidP="00601C05">
      <w:pPr>
        <w:pStyle w:val="BodyText"/>
        <w:spacing w:before="2" w:line="276" w:lineRule="auto"/>
        <w:ind w:left="119"/>
        <w:rPr>
          <w:rFonts w:asciiTheme="minorHAnsi" w:hAnsiTheme="minorHAnsi"/>
          <w:b/>
        </w:rPr>
      </w:pPr>
    </w:p>
    <w:p w:rsidR="00601C05" w:rsidRPr="00601C05" w:rsidRDefault="00601C05" w:rsidP="00601C05">
      <w:pPr>
        <w:pStyle w:val="BodyText"/>
        <w:pBdr>
          <w:between w:val="single" w:sz="4" w:space="1" w:color="auto"/>
        </w:pBdr>
        <w:spacing w:before="2" w:line="276" w:lineRule="auto"/>
        <w:ind w:left="119"/>
        <w:rPr>
          <w:rFonts w:asciiTheme="minorHAnsi" w:hAnsiTheme="minorHAnsi"/>
          <w:b/>
        </w:rPr>
      </w:pPr>
      <w:proofErr w:type="spellStart"/>
      <w:r w:rsidRPr="00601C05">
        <w:rPr>
          <w:rFonts w:asciiTheme="minorHAnsi" w:hAnsiTheme="minorHAnsi"/>
          <w:b/>
        </w:rPr>
        <w:t>Prof.P.</w:t>
      </w:r>
      <w:proofErr w:type="gramStart"/>
      <w:r w:rsidRPr="00601C05">
        <w:rPr>
          <w:rFonts w:asciiTheme="minorHAnsi" w:hAnsiTheme="minorHAnsi"/>
          <w:b/>
        </w:rPr>
        <w:t>A.Ubale</w:t>
      </w:r>
      <w:proofErr w:type="spellEnd"/>
      <w:proofErr w:type="gramEnd"/>
    </w:p>
    <w:p w:rsidR="00601C05" w:rsidRPr="00601C05" w:rsidRDefault="00601C05" w:rsidP="00601C05">
      <w:pPr>
        <w:pStyle w:val="BodyText"/>
        <w:pBdr>
          <w:between w:val="single" w:sz="4" w:space="1" w:color="auto"/>
        </w:pBdr>
        <w:spacing w:before="2" w:line="276" w:lineRule="auto"/>
        <w:ind w:left="119"/>
        <w:rPr>
          <w:rFonts w:asciiTheme="minorHAnsi" w:hAnsiTheme="minorHAnsi"/>
          <w:b/>
        </w:rPr>
      </w:pPr>
    </w:p>
    <w:p w:rsidR="00601C05" w:rsidRPr="00601C05" w:rsidRDefault="00601C05" w:rsidP="00601C05">
      <w:pPr>
        <w:pStyle w:val="ListParagraph"/>
        <w:numPr>
          <w:ilvl w:val="0"/>
          <w:numId w:val="1"/>
        </w:numPr>
        <w:pBdr>
          <w:between w:val="single" w:sz="4" w:space="1" w:color="auto"/>
        </w:pBdr>
        <w:tabs>
          <w:tab w:val="left" w:pos="442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proofErr w:type="spellStart"/>
      <w:r w:rsidRPr="00601C05">
        <w:rPr>
          <w:rFonts w:asciiTheme="minorHAnsi" w:hAnsiTheme="minorHAnsi"/>
          <w:sz w:val="24"/>
          <w:szCs w:val="24"/>
        </w:rPr>
        <w:t>Prof.P.A</w:t>
      </w:r>
      <w:proofErr w:type="spellEnd"/>
      <w:r w:rsidRPr="00601C05">
        <w:rPr>
          <w:rFonts w:asciiTheme="minorHAnsi" w:hAnsiTheme="minorHAnsi"/>
          <w:sz w:val="24"/>
          <w:szCs w:val="24"/>
        </w:rPr>
        <w:t>.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601C05">
        <w:rPr>
          <w:rFonts w:asciiTheme="minorHAnsi" w:hAnsiTheme="minorHAnsi"/>
          <w:sz w:val="24"/>
          <w:szCs w:val="24"/>
        </w:rPr>
        <w:t>Ubale</w:t>
      </w:r>
      <w:proofErr w:type="spellEnd"/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presented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paper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titled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“Synthesis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and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Characterization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of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copper(II),</w:t>
      </w:r>
      <w:r w:rsidRPr="00601C05">
        <w:rPr>
          <w:rFonts w:asciiTheme="minorHAnsi" w:hAnsiTheme="minorHAnsi"/>
          <w:spacing w:val="-57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cadmium(II)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and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nickel(II)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complexes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containing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3-amino-2-methyl-4(3H)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601C05">
        <w:rPr>
          <w:rFonts w:asciiTheme="minorHAnsi" w:hAnsiTheme="minorHAnsi"/>
          <w:sz w:val="24"/>
          <w:szCs w:val="24"/>
        </w:rPr>
        <w:t>quinazoline</w:t>
      </w:r>
      <w:proofErr w:type="spellEnd"/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and</w:t>
      </w:r>
      <w:r w:rsidRPr="00601C05">
        <w:rPr>
          <w:rFonts w:asciiTheme="minorHAnsi" w:hAnsiTheme="minorHAnsi"/>
          <w:spacing w:val="-57"/>
          <w:sz w:val="24"/>
          <w:szCs w:val="24"/>
        </w:rPr>
        <w:t xml:space="preserve"> </w:t>
      </w:r>
      <w:proofErr w:type="spellStart"/>
      <w:r w:rsidRPr="00601C05">
        <w:rPr>
          <w:rFonts w:asciiTheme="minorHAnsi" w:hAnsiTheme="minorHAnsi"/>
          <w:sz w:val="24"/>
          <w:szCs w:val="24"/>
        </w:rPr>
        <w:t>triphenylphosphine</w:t>
      </w:r>
      <w:proofErr w:type="spellEnd"/>
      <w:r w:rsidRPr="00601C05">
        <w:rPr>
          <w:rFonts w:asciiTheme="minorHAnsi" w:hAnsiTheme="minorHAnsi"/>
          <w:sz w:val="24"/>
          <w:szCs w:val="24"/>
        </w:rPr>
        <w:t xml:space="preserve"> as ligands” in the International Conference on “Advanced Technologies for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Societal</w:t>
      </w:r>
      <w:r w:rsidRPr="00601C0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Applications” at</w:t>
      </w:r>
      <w:r w:rsidRPr="00601C05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601C05">
        <w:rPr>
          <w:rFonts w:asciiTheme="minorHAnsi" w:hAnsiTheme="minorHAnsi"/>
          <w:sz w:val="24"/>
          <w:szCs w:val="24"/>
        </w:rPr>
        <w:t>Pandharpur</w:t>
      </w:r>
      <w:proofErr w:type="spellEnd"/>
      <w:r w:rsidRPr="00601C0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on 11</w:t>
      </w:r>
      <w:r w:rsidRPr="00601C05">
        <w:rPr>
          <w:rFonts w:asciiTheme="minorHAnsi" w:hAnsiTheme="minorHAnsi"/>
          <w:sz w:val="24"/>
          <w:szCs w:val="24"/>
          <w:vertAlign w:val="superscript"/>
        </w:rPr>
        <w:t>th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and 12</w:t>
      </w:r>
      <w:r w:rsidRPr="00601C05">
        <w:rPr>
          <w:rFonts w:asciiTheme="minorHAnsi" w:hAnsiTheme="minorHAnsi"/>
          <w:sz w:val="24"/>
          <w:szCs w:val="24"/>
          <w:vertAlign w:val="superscript"/>
        </w:rPr>
        <w:t>th</w:t>
      </w:r>
      <w:r w:rsidRPr="00601C05">
        <w:rPr>
          <w:rFonts w:asciiTheme="minorHAnsi" w:hAnsiTheme="minorHAnsi"/>
          <w:sz w:val="24"/>
          <w:szCs w:val="24"/>
        </w:rPr>
        <w:t xml:space="preserve"> December</w:t>
      </w:r>
      <w:r w:rsidRPr="00601C0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2020.</w:t>
      </w:r>
    </w:p>
    <w:p w:rsidR="00601C05" w:rsidRPr="00601C05" w:rsidRDefault="00601C05" w:rsidP="00601C05">
      <w:pPr>
        <w:pStyle w:val="BodyText"/>
        <w:pBdr>
          <w:between w:val="single" w:sz="4" w:space="1" w:color="auto"/>
        </w:pBdr>
        <w:spacing w:before="11" w:line="276" w:lineRule="auto"/>
        <w:rPr>
          <w:rFonts w:asciiTheme="minorHAnsi" w:hAnsiTheme="minorHAnsi"/>
        </w:rPr>
      </w:pPr>
    </w:p>
    <w:p w:rsidR="00601C05" w:rsidRPr="00601C05" w:rsidRDefault="00601C05" w:rsidP="00601C05">
      <w:pPr>
        <w:pStyle w:val="ListParagraph"/>
        <w:numPr>
          <w:ilvl w:val="0"/>
          <w:numId w:val="1"/>
        </w:numPr>
        <w:pBdr>
          <w:between w:val="single" w:sz="4" w:space="1" w:color="auto"/>
        </w:pBdr>
        <w:tabs>
          <w:tab w:val="left" w:pos="422"/>
        </w:tabs>
        <w:spacing w:line="276" w:lineRule="auto"/>
        <w:ind w:right="119" w:firstLine="0"/>
        <w:rPr>
          <w:rFonts w:asciiTheme="minorHAnsi" w:hAnsiTheme="minorHAnsi"/>
          <w:sz w:val="24"/>
          <w:szCs w:val="24"/>
        </w:rPr>
      </w:pPr>
      <w:proofErr w:type="spellStart"/>
      <w:r w:rsidRPr="00601C05">
        <w:rPr>
          <w:rFonts w:asciiTheme="minorHAnsi" w:hAnsiTheme="minorHAnsi"/>
          <w:sz w:val="24"/>
          <w:szCs w:val="24"/>
        </w:rPr>
        <w:t>Prof.P.</w:t>
      </w:r>
      <w:proofErr w:type="gramStart"/>
      <w:r w:rsidRPr="00601C05">
        <w:rPr>
          <w:rFonts w:asciiTheme="minorHAnsi" w:hAnsiTheme="minorHAnsi"/>
          <w:sz w:val="24"/>
          <w:szCs w:val="24"/>
        </w:rPr>
        <w:t>A.Ubale</w:t>
      </w:r>
      <w:proofErr w:type="spellEnd"/>
      <w:proofErr w:type="gramEnd"/>
      <w:r w:rsidRPr="00601C05">
        <w:rPr>
          <w:rFonts w:asciiTheme="minorHAnsi" w:hAnsiTheme="minorHAnsi"/>
          <w:sz w:val="24"/>
          <w:szCs w:val="24"/>
        </w:rPr>
        <w:t xml:space="preserve"> “Synthesis and Characterization of copper(II), cadmium(II) and nickel(II)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 xml:space="preserve">complexes containing 3-amino-2-methyl-4(3H) </w:t>
      </w:r>
      <w:proofErr w:type="spellStart"/>
      <w:r w:rsidRPr="00601C05">
        <w:rPr>
          <w:rFonts w:asciiTheme="minorHAnsi" w:hAnsiTheme="minorHAnsi"/>
          <w:sz w:val="24"/>
          <w:szCs w:val="24"/>
        </w:rPr>
        <w:t>quinazoline</w:t>
      </w:r>
      <w:proofErr w:type="spellEnd"/>
      <w:r w:rsidRPr="00601C05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601C05">
        <w:rPr>
          <w:rFonts w:asciiTheme="minorHAnsi" w:hAnsiTheme="minorHAnsi"/>
          <w:sz w:val="24"/>
          <w:szCs w:val="24"/>
        </w:rPr>
        <w:t>triphenylphosphine</w:t>
      </w:r>
      <w:proofErr w:type="spellEnd"/>
      <w:r w:rsidRPr="00601C05">
        <w:rPr>
          <w:rFonts w:asciiTheme="minorHAnsi" w:hAnsiTheme="minorHAnsi"/>
          <w:sz w:val="24"/>
          <w:szCs w:val="24"/>
        </w:rPr>
        <w:t xml:space="preserve"> as ligands”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(Springer</w:t>
      </w:r>
      <w:r w:rsidRPr="00601C0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Nature).</w:t>
      </w:r>
    </w:p>
    <w:p w:rsidR="00601C05" w:rsidRPr="00601C05" w:rsidRDefault="00601C05" w:rsidP="00601C05">
      <w:pPr>
        <w:pStyle w:val="BodyText"/>
        <w:pBdr>
          <w:between w:val="single" w:sz="4" w:space="1" w:color="auto"/>
        </w:pBdr>
        <w:spacing w:line="276" w:lineRule="auto"/>
        <w:rPr>
          <w:rFonts w:asciiTheme="minorHAnsi" w:hAnsiTheme="minorHAnsi"/>
        </w:rPr>
      </w:pPr>
    </w:p>
    <w:p w:rsidR="00601C05" w:rsidRPr="00601C05" w:rsidRDefault="00601C05" w:rsidP="00601C05">
      <w:pPr>
        <w:pStyle w:val="ListParagraph"/>
        <w:numPr>
          <w:ilvl w:val="0"/>
          <w:numId w:val="1"/>
        </w:numPr>
        <w:pBdr>
          <w:between w:val="single" w:sz="4" w:space="1" w:color="auto"/>
        </w:pBdr>
        <w:tabs>
          <w:tab w:val="left" w:pos="380"/>
        </w:tabs>
        <w:spacing w:line="276" w:lineRule="auto"/>
        <w:ind w:right="537" w:firstLine="0"/>
        <w:rPr>
          <w:rFonts w:asciiTheme="minorHAnsi" w:hAnsiTheme="minorHAnsi"/>
          <w:sz w:val="24"/>
          <w:szCs w:val="24"/>
        </w:rPr>
      </w:pPr>
      <w:proofErr w:type="spellStart"/>
      <w:r w:rsidRPr="00601C05">
        <w:rPr>
          <w:rFonts w:asciiTheme="minorHAnsi" w:hAnsiTheme="minorHAnsi"/>
          <w:sz w:val="24"/>
          <w:szCs w:val="24"/>
        </w:rPr>
        <w:t>Prof.P.</w:t>
      </w:r>
      <w:proofErr w:type="gramStart"/>
      <w:r w:rsidRPr="00601C05">
        <w:rPr>
          <w:rFonts w:asciiTheme="minorHAnsi" w:hAnsiTheme="minorHAnsi"/>
          <w:sz w:val="24"/>
          <w:szCs w:val="24"/>
        </w:rPr>
        <w:t>A.Ubale</w:t>
      </w:r>
      <w:proofErr w:type="spellEnd"/>
      <w:proofErr w:type="gramEnd"/>
      <w:r w:rsidRPr="00601C0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“Antitumor</w:t>
      </w:r>
      <w:r w:rsidRPr="00601C0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and</w:t>
      </w:r>
      <w:r w:rsidRPr="00601C0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Antimicrobial</w:t>
      </w:r>
      <w:r w:rsidRPr="00601C0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Potential</w:t>
      </w:r>
      <w:r w:rsidRPr="00601C0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of</w:t>
      </w:r>
      <w:r w:rsidRPr="00601C0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Manganese(II),</w:t>
      </w:r>
      <w:r w:rsidRPr="00601C0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Nickel(II)</w:t>
      </w:r>
      <w:r w:rsidRPr="00601C0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and</w:t>
      </w:r>
      <w:r w:rsidRPr="00601C05">
        <w:rPr>
          <w:rFonts w:asciiTheme="minorHAnsi" w:hAnsiTheme="minorHAnsi"/>
          <w:spacing w:val="-57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 xml:space="preserve">Copper(II) Complexes of 4-Methoxy </w:t>
      </w:r>
      <w:proofErr w:type="spellStart"/>
      <w:r w:rsidRPr="00601C05">
        <w:rPr>
          <w:rFonts w:asciiTheme="minorHAnsi" w:hAnsiTheme="minorHAnsi"/>
          <w:sz w:val="24"/>
          <w:szCs w:val="24"/>
        </w:rPr>
        <w:t>Benzohydrazide</w:t>
      </w:r>
      <w:proofErr w:type="spellEnd"/>
      <w:r w:rsidRPr="00601C05">
        <w:rPr>
          <w:rFonts w:asciiTheme="minorHAnsi" w:hAnsiTheme="minorHAnsi"/>
          <w:sz w:val="24"/>
          <w:szCs w:val="24"/>
        </w:rPr>
        <w:t xml:space="preserve"> Derived Schiff Base Ligand”</w:t>
      </w:r>
      <w:r w:rsidRPr="00601C0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(International Journal</w:t>
      </w:r>
      <w:r w:rsidRPr="00601C0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>Letters in</w:t>
      </w:r>
      <w:r w:rsidRPr="00601C0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01C05">
        <w:rPr>
          <w:rFonts w:asciiTheme="minorHAnsi" w:hAnsiTheme="minorHAnsi"/>
          <w:sz w:val="24"/>
          <w:szCs w:val="24"/>
        </w:rPr>
        <w:t xml:space="preserve">Applied </w:t>
      </w:r>
      <w:proofErr w:type="spellStart"/>
      <w:r w:rsidRPr="00601C05">
        <w:rPr>
          <w:rFonts w:asciiTheme="minorHAnsi" w:hAnsiTheme="minorHAnsi"/>
          <w:sz w:val="24"/>
          <w:szCs w:val="24"/>
        </w:rPr>
        <w:t>Bionanosciences</w:t>
      </w:r>
      <w:proofErr w:type="spellEnd"/>
    </w:p>
    <w:p w:rsidR="00601C05" w:rsidRPr="00601C05" w:rsidRDefault="00601C05" w:rsidP="00601C05">
      <w:pPr>
        <w:pStyle w:val="BodyText"/>
        <w:spacing w:line="276" w:lineRule="auto"/>
        <w:rPr>
          <w:rFonts w:asciiTheme="minorHAnsi" w:hAnsiTheme="minorHAnsi"/>
        </w:rPr>
      </w:pPr>
    </w:p>
    <w:p w:rsidR="00601C05" w:rsidRPr="00601C05" w:rsidRDefault="00601C05" w:rsidP="00601C05">
      <w:pPr>
        <w:pStyle w:val="BodyText"/>
        <w:pBdr>
          <w:between w:val="single" w:sz="4" w:space="1" w:color="auto"/>
        </w:pBdr>
        <w:spacing w:line="360" w:lineRule="auto"/>
        <w:rPr>
          <w:rFonts w:asciiTheme="minorHAnsi" w:hAnsiTheme="minorHAnsi"/>
          <w:b/>
        </w:rPr>
      </w:pPr>
      <w:proofErr w:type="spellStart"/>
      <w:r w:rsidRPr="00601C05">
        <w:rPr>
          <w:rFonts w:asciiTheme="minorHAnsi" w:hAnsiTheme="minorHAnsi"/>
          <w:b/>
        </w:rPr>
        <w:t>Prof.U.</w:t>
      </w:r>
      <w:proofErr w:type="gramStart"/>
      <w:r w:rsidRPr="00601C05">
        <w:rPr>
          <w:rFonts w:asciiTheme="minorHAnsi" w:hAnsiTheme="minorHAnsi"/>
          <w:b/>
        </w:rPr>
        <w:t>K.Jadhav</w:t>
      </w:r>
      <w:proofErr w:type="spellEnd"/>
      <w:proofErr w:type="gramEnd"/>
    </w:p>
    <w:p w:rsidR="00601C05" w:rsidRPr="00601C05" w:rsidRDefault="00601C05" w:rsidP="00601C05">
      <w:pPr>
        <w:pStyle w:val="BodyText"/>
        <w:pBdr>
          <w:between w:val="single" w:sz="4" w:space="1" w:color="auto"/>
        </w:pBdr>
        <w:spacing w:before="4" w:line="360" w:lineRule="auto"/>
        <w:rPr>
          <w:rFonts w:asciiTheme="minorHAnsi" w:hAnsiTheme="minorHAnsi"/>
        </w:rPr>
      </w:pPr>
      <w:proofErr w:type="spellStart"/>
      <w:r w:rsidRPr="00601C05">
        <w:rPr>
          <w:rFonts w:asciiTheme="minorHAnsi" w:hAnsiTheme="minorHAnsi"/>
        </w:rPr>
        <w:t>Prof.U</w:t>
      </w:r>
      <w:proofErr w:type="spellEnd"/>
      <w:r w:rsidRPr="00601C05">
        <w:rPr>
          <w:rFonts w:asciiTheme="minorHAnsi" w:hAnsiTheme="minorHAnsi"/>
        </w:rPr>
        <w:t xml:space="preserve"> K </w:t>
      </w:r>
      <w:proofErr w:type="spellStart"/>
      <w:r w:rsidRPr="00601C05">
        <w:rPr>
          <w:rFonts w:asciiTheme="minorHAnsi" w:hAnsiTheme="minorHAnsi"/>
        </w:rPr>
        <w:t>Jadhav</w:t>
      </w:r>
      <w:proofErr w:type="spellEnd"/>
      <w:r w:rsidRPr="00601C05">
        <w:rPr>
          <w:rFonts w:asciiTheme="minorHAnsi" w:hAnsiTheme="minorHAnsi"/>
        </w:rPr>
        <w:t xml:space="preserve">, Feministic Approaches in </w:t>
      </w:r>
      <w:proofErr w:type="spellStart"/>
      <w:r w:rsidRPr="00601C05">
        <w:rPr>
          <w:rFonts w:asciiTheme="minorHAnsi" w:hAnsiTheme="minorHAnsi"/>
        </w:rPr>
        <w:t>Taslima</w:t>
      </w:r>
      <w:proofErr w:type="spellEnd"/>
      <w:r w:rsidRPr="00601C05">
        <w:rPr>
          <w:rFonts w:asciiTheme="minorHAnsi" w:hAnsiTheme="minorHAnsi"/>
        </w:rPr>
        <w:t xml:space="preserve"> </w:t>
      </w:r>
      <w:proofErr w:type="spellStart"/>
      <w:r w:rsidRPr="00601C05">
        <w:rPr>
          <w:rFonts w:asciiTheme="minorHAnsi" w:hAnsiTheme="minorHAnsi"/>
        </w:rPr>
        <w:t>Nasrin</w:t>
      </w:r>
      <w:proofErr w:type="spellEnd"/>
      <w:r w:rsidRPr="00601C05">
        <w:rPr>
          <w:rFonts w:asciiTheme="minorHAnsi" w:hAnsiTheme="minorHAnsi"/>
        </w:rPr>
        <w:t xml:space="preserve"> 's Selected Works New Academia: An International Journal of English Language, Literature and Literary Theory (Pune, India. April 2021).</w:t>
      </w:r>
    </w:p>
    <w:p w:rsidR="0086096F" w:rsidRPr="00601C05" w:rsidRDefault="0086096F" w:rsidP="00601C05">
      <w:bookmarkStart w:id="0" w:name="_GoBack"/>
      <w:bookmarkEnd w:id="0"/>
    </w:p>
    <w:sectPr w:rsidR="0086096F" w:rsidRPr="00601C05" w:rsidSect="00E52922"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E68C2"/>
    <w:multiLevelType w:val="hybridMultilevel"/>
    <w:tmpl w:val="3E745552"/>
    <w:lvl w:ilvl="0" w:tplc="AD82F398">
      <w:start w:val="1"/>
      <w:numFmt w:val="decimal"/>
      <w:lvlText w:val="%1)"/>
      <w:lvlJc w:val="left"/>
      <w:pPr>
        <w:ind w:left="119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D28F854">
      <w:start w:val="1"/>
      <w:numFmt w:val="decimal"/>
      <w:lvlText w:val="%2)"/>
      <w:lvlJc w:val="left"/>
      <w:pPr>
        <w:ind w:left="220" w:hanging="202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en-US" w:eastAsia="en-US" w:bidi="ar-SA"/>
      </w:rPr>
    </w:lvl>
    <w:lvl w:ilvl="2" w:tplc="44840F36">
      <w:numFmt w:val="bullet"/>
      <w:lvlText w:val="•"/>
      <w:lvlJc w:val="left"/>
      <w:pPr>
        <w:ind w:left="1251" w:hanging="202"/>
      </w:pPr>
      <w:rPr>
        <w:rFonts w:hint="default"/>
        <w:lang w:val="en-US" w:eastAsia="en-US" w:bidi="ar-SA"/>
      </w:rPr>
    </w:lvl>
    <w:lvl w:ilvl="3" w:tplc="EAEE4D96">
      <w:numFmt w:val="bullet"/>
      <w:lvlText w:val="•"/>
      <w:lvlJc w:val="left"/>
      <w:pPr>
        <w:ind w:left="2282" w:hanging="202"/>
      </w:pPr>
      <w:rPr>
        <w:rFonts w:hint="default"/>
        <w:lang w:val="en-US" w:eastAsia="en-US" w:bidi="ar-SA"/>
      </w:rPr>
    </w:lvl>
    <w:lvl w:ilvl="4" w:tplc="E53E06E4">
      <w:numFmt w:val="bullet"/>
      <w:lvlText w:val="•"/>
      <w:lvlJc w:val="left"/>
      <w:pPr>
        <w:ind w:left="3313" w:hanging="202"/>
      </w:pPr>
      <w:rPr>
        <w:rFonts w:hint="default"/>
        <w:lang w:val="en-US" w:eastAsia="en-US" w:bidi="ar-SA"/>
      </w:rPr>
    </w:lvl>
    <w:lvl w:ilvl="5" w:tplc="B3045624">
      <w:numFmt w:val="bullet"/>
      <w:lvlText w:val="•"/>
      <w:lvlJc w:val="left"/>
      <w:pPr>
        <w:ind w:left="4344" w:hanging="202"/>
      </w:pPr>
      <w:rPr>
        <w:rFonts w:hint="default"/>
        <w:lang w:val="en-US" w:eastAsia="en-US" w:bidi="ar-SA"/>
      </w:rPr>
    </w:lvl>
    <w:lvl w:ilvl="6" w:tplc="1BF29638">
      <w:numFmt w:val="bullet"/>
      <w:lvlText w:val="•"/>
      <w:lvlJc w:val="left"/>
      <w:pPr>
        <w:ind w:left="5375" w:hanging="202"/>
      </w:pPr>
      <w:rPr>
        <w:rFonts w:hint="default"/>
        <w:lang w:val="en-US" w:eastAsia="en-US" w:bidi="ar-SA"/>
      </w:rPr>
    </w:lvl>
    <w:lvl w:ilvl="7" w:tplc="5386B4C2">
      <w:numFmt w:val="bullet"/>
      <w:lvlText w:val="•"/>
      <w:lvlJc w:val="left"/>
      <w:pPr>
        <w:ind w:left="6406" w:hanging="202"/>
      </w:pPr>
      <w:rPr>
        <w:rFonts w:hint="default"/>
        <w:lang w:val="en-US" w:eastAsia="en-US" w:bidi="ar-SA"/>
      </w:rPr>
    </w:lvl>
    <w:lvl w:ilvl="8" w:tplc="033C6442">
      <w:numFmt w:val="bullet"/>
      <w:lvlText w:val="•"/>
      <w:lvlJc w:val="left"/>
      <w:pPr>
        <w:ind w:left="7437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18"/>
    <w:rsid w:val="00081218"/>
    <w:rsid w:val="00153688"/>
    <w:rsid w:val="00601C05"/>
    <w:rsid w:val="0086096F"/>
    <w:rsid w:val="00E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4A8D5-6DF8-4248-9715-5D948C89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2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52922"/>
    <w:pPr>
      <w:ind w:left="43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29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29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29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52922"/>
    <w:pPr>
      <w:ind w:left="220" w:right="1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>Orchid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2022-03-24T11:34:00Z</dcterms:created>
  <dcterms:modified xsi:type="dcterms:W3CDTF">2022-03-24T11:39:00Z</dcterms:modified>
</cp:coreProperties>
</file>